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3F" w:rsidRPr="009F433F" w:rsidRDefault="009F433F" w:rsidP="009F4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9F4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Beneficii de asistență socială</w:t>
      </w:r>
    </w:p>
    <w:p w:rsidR="009F433F" w:rsidRPr="009F433F" w:rsidRDefault="009F433F" w:rsidP="009F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Beneficiile de asistență socială sunt ajutoare bănești acordate de stat în anumite situații persoanelor sau familiilor, pe o perioadă determinată de timp.</w:t>
      </w:r>
    </w:p>
    <w:p w:rsidR="009F433F" w:rsidRPr="009F433F" w:rsidRDefault="009F433F" w:rsidP="009F4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Tipuri de beneficii de asistență socială</w:t>
      </w:r>
    </w:p>
    <w:p w:rsidR="004611BC" w:rsidRPr="004611BC" w:rsidRDefault="004611BC" w:rsidP="004611BC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1.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Sprijin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acordat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familiilor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cu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venituri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reduse</w:t>
      </w:r>
      <w:proofErr w:type="spellEnd"/>
    </w:p>
    <w:p w:rsidR="004611BC" w:rsidRPr="004611BC" w:rsidRDefault="004611BC" w:rsidP="004611B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Ajutorul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social;</w:t>
      </w:r>
    </w:p>
    <w:p w:rsidR="004611BC" w:rsidRPr="004611BC" w:rsidRDefault="004611BC" w:rsidP="004611B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Ajutorul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  </w:t>
      </w:r>
      <w:proofErr w:type="spellStart"/>
      <w:r w:rsidR="00342572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pentru</w:t>
      </w:r>
      <w:proofErr w:type="spellEnd"/>
      <w:r w:rsidR="00342572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încălzire</w:t>
      </w:r>
      <w:r w:rsidR="00342572">
        <w:rPr>
          <w:rFonts w:ascii="Tahoma" w:eastAsia="Times New Roman" w:hAnsi="Tahoma" w:cs="Tahoma"/>
          <w:color w:val="000000"/>
          <w:sz w:val="21"/>
          <w:szCs w:val="21"/>
          <w:lang w:val="en-US"/>
        </w:rPr>
        <w:t>a</w:t>
      </w:r>
      <w:proofErr w:type="spellEnd"/>
      <w:r w:rsidR="00342572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="00342572">
        <w:rPr>
          <w:rFonts w:ascii="Tahoma" w:eastAsia="Times New Roman" w:hAnsi="Tahoma" w:cs="Tahoma"/>
          <w:color w:val="000000"/>
          <w:sz w:val="21"/>
          <w:szCs w:val="21"/>
          <w:lang w:val="en-US"/>
        </w:rPr>
        <w:t>locuintei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;</w:t>
      </w:r>
    </w:p>
    <w:p w:rsidR="004611BC" w:rsidRPr="004611BC" w:rsidRDefault="004611BC" w:rsidP="004611B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Alocaţia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pentru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susţinerea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familiei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;</w:t>
      </w:r>
    </w:p>
    <w:p w:rsidR="004611BC" w:rsidRPr="004611BC" w:rsidRDefault="004611BC" w:rsidP="004611BC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2.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Politici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familiale</w:t>
      </w:r>
      <w:proofErr w:type="spellEnd"/>
    </w:p>
    <w:p w:rsidR="004611BC" w:rsidRPr="004611BC" w:rsidRDefault="004611BC" w:rsidP="004611B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Alocaţia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de stat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pentru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copii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;</w:t>
      </w:r>
    </w:p>
    <w:p w:rsidR="004611BC" w:rsidRPr="004611BC" w:rsidRDefault="004611BC" w:rsidP="004611B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Alocaţia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de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plasament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;</w:t>
      </w:r>
    </w:p>
    <w:p w:rsidR="004611BC" w:rsidRPr="004611BC" w:rsidRDefault="004611BC" w:rsidP="004611B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Indemnizaţia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pentru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creşterea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copilului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şi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stimulentul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de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inserţie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;</w:t>
      </w:r>
    </w:p>
    <w:p w:rsidR="004611BC" w:rsidRPr="004611BC" w:rsidRDefault="004611BC" w:rsidP="004611BC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3.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Sprijin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acordat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persoanelor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cu handicap</w:t>
      </w:r>
    </w:p>
    <w:p w:rsidR="004611BC" w:rsidRPr="004611BC" w:rsidRDefault="004611BC" w:rsidP="004611B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Drepturi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acordate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persoanelor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cu handicap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în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conformitate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cu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Legea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nr. 448/2006;</w:t>
      </w:r>
    </w:p>
    <w:p w:rsidR="004611BC" w:rsidRPr="004611BC" w:rsidRDefault="004611BC" w:rsidP="004611B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Bugetele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personale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complementare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acordate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lunar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persoanelor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cu handicap;</w:t>
      </w:r>
    </w:p>
    <w:p w:rsidR="004611BC" w:rsidRPr="004611BC" w:rsidRDefault="004611BC" w:rsidP="004611B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Indemnizaţia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lunară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de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hrană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HIV/SIDA;</w:t>
      </w:r>
    </w:p>
    <w:p w:rsidR="004611BC" w:rsidRPr="004611BC" w:rsidRDefault="004611BC" w:rsidP="004611B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Indemnizaţia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lunară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acordată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persoanelor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cu handicap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grav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şi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accentuat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;</w:t>
      </w:r>
    </w:p>
    <w:p w:rsidR="004611BC" w:rsidRPr="004611BC" w:rsidRDefault="007E3986" w:rsidP="004611B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Asistent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personal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si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sau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insotitor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pentru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persoanele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cu handicap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grav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;</w:t>
      </w:r>
    </w:p>
    <w:p w:rsidR="004611BC" w:rsidRPr="004611BC" w:rsidRDefault="004611BC" w:rsidP="004611B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Alocaţia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lunară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de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hrană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pentru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>copiii</w:t>
      </w:r>
      <w:proofErr w:type="spellEnd"/>
      <w:r w:rsidRPr="004611BC"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cu handicap de tip HIV/SIDA;</w:t>
      </w:r>
    </w:p>
    <w:p w:rsidR="009F433F" w:rsidRPr="009F433F" w:rsidRDefault="009F433F" w:rsidP="009F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F433F" w:rsidRPr="009F433F" w:rsidRDefault="009F433F" w:rsidP="009F4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Cine poate solicita beneficii de asistență socială</w:t>
      </w:r>
    </w:p>
    <w:p w:rsidR="008934CE" w:rsidRDefault="009F433F" w:rsidP="009F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Familiile cu venituri reduse care au în creştere şi îngrijire copii in vârstă de până la 18 ani.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Familiile şi persoanele singure, cetăţeni români, străini şi apatrizi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Persoanele care au în întreţinere un copil nou născut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Familiile care au copii în vârstă de până la 18 ani, copii născuţi în străinătate sau ai căror părinţi lucrează în străinătate, </w:t>
      </w:r>
    </w:p>
    <w:p w:rsidR="009F433F" w:rsidRPr="009F433F" w:rsidRDefault="008934CE" w:rsidP="009F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9F433F"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opii încadraţi în grad de handicap.</w:t>
      </w:r>
    </w:p>
    <w:p w:rsidR="009F433F" w:rsidRPr="009F433F" w:rsidRDefault="009F433F" w:rsidP="009F4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Care sunt</w:t>
      </w:r>
      <w:r w:rsidR="004611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principalele criterii</w:t>
      </w:r>
      <w:r w:rsidRPr="009F43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 care trebuie să le îndeplinească cineva ca să poată apela aceste beneficii</w:t>
      </w:r>
      <w:r w:rsidR="004611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asistenta sociala?</w:t>
      </w:r>
    </w:p>
    <w:p w:rsidR="008934CE" w:rsidRPr="008934CE" w:rsidRDefault="008934CE" w:rsidP="008934C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3C3C3C"/>
          <w:sz w:val="23"/>
          <w:szCs w:val="23"/>
          <w:lang w:val="en-US"/>
        </w:rPr>
      </w:pP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Familia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trebuie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să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locuiască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împreună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,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pe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raza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Arial"/>
          <w:color w:val="3C3C3C"/>
          <w:sz w:val="23"/>
          <w:szCs w:val="23"/>
          <w:lang w:val="en-US"/>
        </w:rPr>
        <w:t>comunei</w:t>
      </w:r>
      <w:proofErr w:type="spellEnd"/>
      <w:r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Arial"/>
          <w:color w:val="3C3C3C"/>
          <w:sz w:val="23"/>
          <w:szCs w:val="23"/>
          <w:lang w:val="en-US"/>
        </w:rPr>
        <w:t>Oarta</w:t>
      </w:r>
      <w:proofErr w:type="spellEnd"/>
      <w:r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de </w:t>
      </w:r>
      <w:proofErr w:type="spellStart"/>
      <w:proofErr w:type="gramStart"/>
      <w:r>
        <w:rPr>
          <w:rFonts w:ascii="inherit" w:eastAsia="Times New Roman" w:hAnsi="inherit" w:cs="Arial"/>
          <w:color w:val="3C3C3C"/>
          <w:sz w:val="23"/>
          <w:szCs w:val="23"/>
          <w:lang w:val="en-US"/>
        </w:rPr>
        <w:t>Jos</w:t>
      </w:r>
      <w:proofErr w:type="spellEnd"/>
      <w:r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,</w:t>
      </w:r>
      <w:proofErr w:type="gram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venitul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net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mediu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lunar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pe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membru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de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familie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să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se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situeze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sub 530 lei,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copiii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de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vârstă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şcolară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să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frecventeze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fără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întrerupere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cursurile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unei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forme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de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învăţământ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organizate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potrivit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legii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,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familia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nu are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în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proprietate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/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folosinţă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nici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unul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din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bunurile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cuprinse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în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lista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bunurilor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ce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duc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la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excluderea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acestui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beneficiu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de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asistenţă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socială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.</w:t>
      </w:r>
    </w:p>
    <w:p w:rsidR="008934CE" w:rsidRPr="008934CE" w:rsidRDefault="008934CE" w:rsidP="008934CE">
      <w:pPr>
        <w:numPr>
          <w:ilvl w:val="0"/>
          <w:numId w:val="4"/>
        </w:numPr>
        <w:shd w:val="clear" w:color="auto" w:fill="FFFFFF"/>
        <w:spacing w:before="150" w:after="0" w:line="360" w:lineRule="atLeast"/>
        <w:ind w:left="0"/>
        <w:jc w:val="both"/>
        <w:textAlignment w:val="baseline"/>
        <w:rPr>
          <w:rFonts w:ascii="inherit" w:eastAsia="Times New Roman" w:hAnsi="inherit" w:cs="Arial"/>
          <w:color w:val="3C3C3C"/>
          <w:sz w:val="23"/>
          <w:szCs w:val="23"/>
          <w:lang w:val="en-US"/>
        </w:rPr>
      </w:pP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Veniturile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nete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ale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familiei</w:t>
      </w:r>
      <w:proofErr w:type="spellEnd"/>
      <w:proofErr w:type="gram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 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să</w:t>
      </w:r>
      <w:proofErr w:type="spellEnd"/>
      <w:proofErr w:type="gram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fie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mai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mici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decât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 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nivelul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lunar al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venitului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minim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garantat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raportat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la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indicatorul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social de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referinţă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,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acesta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acordându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-se ca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diferenţă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între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aceste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venituri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.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Familiile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şi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persoanele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singure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care au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în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proprietate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cel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puţin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unul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dintre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bunurile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cuprinse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în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lista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de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mai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</w:t>
      </w:r>
      <w:proofErr w:type="spellStart"/>
      <w:proofErr w:type="gram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jos</w:t>
      </w:r>
      <w:proofErr w:type="spellEnd"/>
      <w:proofErr w:type="gram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, nu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beneficiază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de </w:t>
      </w:r>
      <w:proofErr w:type="spellStart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>ajutor</w:t>
      </w:r>
      <w:proofErr w:type="spellEnd"/>
      <w:r w:rsidRPr="008934CE">
        <w:rPr>
          <w:rFonts w:ascii="inherit" w:eastAsia="Times New Roman" w:hAnsi="inherit" w:cs="Arial"/>
          <w:color w:val="3C3C3C"/>
          <w:sz w:val="23"/>
          <w:szCs w:val="23"/>
          <w:lang w:val="en-US"/>
        </w:rPr>
        <w:t xml:space="preserve"> social.</w:t>
      </w:r>
    </w:p>
    <w:p w:rsidR="009F433F" w:rsidRPr="009F433F" w:rsidRDefault="009F433F" w:rsidP="009F4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Care sunt paşii care trebuie urmaţi pentru obținerea beneficiilor?</w:t>
      </w:r>
    </w:p>
    <w:p w:rsidR="009F433F" w:rsidRPr="009F433F" w:rsidRDefault="009F433F" w:rsidP="009F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• depunerea cererii pentru acordarea beneficiilor de asistenţă socială.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cererea se înregistrează în registrul special.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informarea beneficiarului asupra obligaţiilor ce îi revin pentru menţinerea dreptului acordat.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efectuarea anchetei sociale în termenul prevăzut de lege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comunicarea dispoziţiei de acordare a dreptului sau respingere a cererii către solicitant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Solicitările se depun direct de către beneficiar.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În cazul familiei monoparentale care are copii în întreţinere, nu a împlinit vârsta de 18 ani şi nu are capacitate deplină de exerciţiu solicitarea se face de către reprezentantul legal/ocrotitorul legal al acesteia.</w:t>
      </w:r>
    </w:p>
    <w:p w:rsidR="009F433F" w:rsidRPr="009F433F" w:rsidRDefault="009F433F" w:rsidP="009F4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Timpul de soluționare al solicitărilor</w:t>
      </w:r>
    </w:p>
    <w:p w:rsidR="009F433F" w:rsidRPr="009F433F" w:rsidRDefault="009F433F" w:rsidP="009F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În vederea verificării îndeplinirii de către solicitant a condiţiilor de acordare se va efectua evaluarea socio-economică, prin ancheta socială, în termen de 10 zile de la data înregistrării cererii. În termen de 5 zile de la efectuarea anchetei sociale se comunică solicitanţilor dispoziţia de acordare a dreptului sau respingerea cererii. Dreptul la alocaţiei se acordă începând cu luna depunerii cererii iar plata</w:t>
      </w:r>
      <w:r w:rsidR="00DD4D5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alocaţiei se asigură de către Agenţia Judeţeană pentru Plăţi şi Inspecţie S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oci</w:t>
      </w:r>
      <w:r w:rsidR="00DD4D55">
        <w:rPr>
          <w:rFonts w:ascii="Times New Roman" w:eastAsia="Times New Roman" w:hAnsi="Times New Roman" w:cs="Times New Roman"/>
          <w:sz w:val="24"/>
          <w:szCs w:val="24"/>
          <w:lang w:eastAsia="ro-RO"/>
        </w:rPr>
        <w:t>ală M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aramureş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Cererile pentru acordarea ajutorului social se depun de către reprezentantul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familiei /persoana singură, la Secretarul comunei Oarta de Jos 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se soluţionează în termen de maximum 30 de zile de la data înregistrării.</w:t>
      </w:r>
    </w:p>
    <w:p w:rsidR="009F433F" w:rsidRPr="009F433F" w:rsidRDefault="009F433F" w:rsidP="009F4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Urmărirea termenului de primire a  dispoziţiei de acordare a dreptului sau respingerea cereii.</w:t>
      </w:r>
    </w:p>
    <w:p w:rsidR="009F433F" w:rsidRPr="009F433F" w:rsidRDefault="009F433F" w:rsidP="009F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Solicitantul are dreptul de a solicita clarificări printr-una dintre modalităţile de apelare a serviciului prezentate sau de a sesiza structurile ierarhice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superioare 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orice nemulţumire legată de modul, termenul sau forma în care i-au parvenit informaţiile solicitate.  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În termen de 5 zile de la efectuarea anchetei sociale se comunică solicitanţilor dispoziţia de acordare a dreptului sau respingerea cererii. Dreptul la alocaţiei se acordă începând cu luna </w:t>
      </w:r>
      <w:r w:rsidR="00435F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urmatoare 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depunerii cererii iar plata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alocaţiei se asigură de către Agenţia Judeţeană pentru Plăţi şi Inspecţie Socială M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aramureş.</w:t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Soluţionarea cererii se face în termen de maxim 30 de zile de la data depunerii iar dispoziţia scrisă a primarului, se comunică  prin poşta solicitantului în termen de maximum 5 zile de la emiterea acesteia.</w:t>
      </w:r>
    </w:p>
    <w:p w:rsidR="009F433F" w:rsidRDefault="009F433F" w:rsidP="009F4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Unde se depune solicitarea/actele</w:t>
      </w:r>
    </w:p>
    <w:p w:rsidR="009F433F" w:rsidRPr="009F433F" w:rsidRDefault="009F433F" w:rsidP="009F4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Sediul Primariei</w:t>
      </w:r>
    </w:p>
    <w:p w:rsidR="009F433F" w:rsidRPr="009F433F" w:rsidRDefault="009F433F" w:rsidP="009F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Toate documentele,  formularele, cererile tip etc. de care are nevoie solicitantul 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ot</w:t>
      </w:r>
      <w:r w:rsidR="00FA50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ridicate de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primariei Oarta de Jos .</w:t>
      </w:r>
    </w:p>
    <w:p w:rsidR="009F433F" w:rsidRPr="009F433F" w:rsidRDefault="009F433F" w:rsidP="009F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F433F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98181B" w:rsidRDefault="0098181B"/>
    <w:sectPr w:rsidR="0098181B" w:rsidSect="0098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FFC"/>
    <w:multiLevelType w:val="multilevel"/>
    <w:tmpl w:val="AE9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F6819"/>
    <w:multiLevelType w:val="multilevel"/>
    <w:tmpl w:val="9C340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8F02A3C"/>
    <w:multiLevelType w:val="multilevel"/>
    <w:tmpl w:val="DD26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A718B3"/>
    <w:multiLevelType w:val="multilevel"/>
    <w:tmpl w:val="E17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33F"/>
    <w:rsid w:val="00276979"/>
    <w:rsid w:val="00342572"/>
    <w:rsid w:val="00435FF5"/>
    <w:rsid w:val="004611BC"/>
    <w:rsid w:val="005528C9"/>
    <w:rsid w:val="007E3986"/>
    <w:rsid w:val="008934CE"/>
    <w:rsid w:val="00975DE2"/>
    <w:rsid w:val="0098181B"/>
    <w:rsid w:val="009B5086"/>
    <w:rsid w:val="009F433F"/>
    <w:rsid w:val="00A27F7F"/>
    <w:rsid w:val="00DD4D55"/>
    <w:rsid w:val="00FA50DC"/>
    <w:rsid w:val="00F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1B"/>
  </w:style>
  <w:style w:type="paragraph" w:styleId="Heading1">
    <w:name w:val="heading 1"/>
    <w:basedOn w:val="Normal"/>
    <w:link w:val="Heading1Char"/>
    <w:uiPriority w:val="9"/>
    <w:qFormat/>
    <w:rsid w:val="009F4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9F43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33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9F433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46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Crina</cp:lastModifiedBy>
  <cp:revision>9</cp:revision>
  <dcterms:created xsi:type="dcterms:W3CDTF">2017-05-08T11:31:00Z</dcterms:created>
  <dcterms:modified xsi:type="dcterms:W3CDTF">2017-05-12T06:58:00Z</dcterms:modified>
</cp:coreProperties>
</file>